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manuale-aziendale-smiledoc"/>
    <w:p>
      <w:pPr>
        <w:pStyle w:val="Heading1"/>
      </w:pPr>
      <w:r>
        <w:t xml:space="preserve">MANUALE AZIENDALE SMILEDOC</w:t>
      </w:r>
    </w:p>
    <w:bookmarkStart w:id="20" w:name="Xaffb40820689c575e83d79fe9f4abfd177bd777"/>
    <w:p>
      <w:pPr>
        <w:pStyle w:val="Heading2"/>
      </w:pPr>
      <w:r>
        <w:t xml:space="preserve">Comunicazioni, Email Aziendali e Disciplina Interna</w:t>
      </w:r>
    </w:p>
    <w:p>
      <w:r>
        <w:pict>
          <v:rect style="width:0;height:1.5pt" o:hralign="center" o:hrstd="t" o:hr="t"/>
        </w:pict>
      </w:r>
    </w:p>
    <w:bookmarkEnd w:id="20"/>
    <w:bookmarkStart w:id="21" w:name="introduzione"/>
    <w:p>
      <w:pPr>
        <w:pStyle w:val="Heading2"/>
      </w:pPr>
      <w:r>
        <w:t xml:space="preserve">1. Introduzione</w:t>
      </w:r>
    </w:p>
    <w:p>
      <w:pPr>
        <w:pStyle w:val="FirstParagraph"/>
      </w:pPr>
      <w:r>
        <w:t xml:space="preserve">Il presente Manuale raccoglie e coordina le regole aziendali relative all’uso delle email, alle comunicazioni ufficiali e alla gestione disciplinare interna, al fine di garantire ordine organizzativo, sicurezza e conformità normativa.</w:t>
      </w:r>
    </w:p>
    <w:p>
      <w:r>
        <w:pict>
          <v:rect style="width:0;height:1.5pt" o:hralign="center" o:hrstd="t" o:hr="t"/>
        </w:pict>
      </w:r>
    </w:p>
    <w:bookmarkEnd w:id="21"/>
    <w:bookmarkStart w:id="22" w:name="policy-uso-email-aziendali"/>
    <w:p>
      <w:pPr>
        <w:pStyle w:val="Heading2"/>
      </w:pPr>
      <w:r>
        <w:t xml:space="preserve">2. Policy Uso Email Aziendali</w:t>
      </w:r>
    </w:p>
    <w:p>
      <w:pPr>
        <w:pStyle w:val="FirstParagraph"/>
      </w:pPr>
      <w:r>
        <w:t xml:space="preserve">L’uso delle email aziendali è regolato dalla</w:t>
      </w:r>
      <w:r>
        <w:t xml:space="preserve"> </w:t>
      </w:r>
      <w:r>
        <w:rPr>
          <w:i/>
          <w:iCs/>
        </w:rPr>
        <w:t xml:space="preserve">Policy per l’Uso delle Email Aziendali Smiledoc</w:t>
      </w:r>
      <w:r>
        <w:t xml:space="preserve">, parte integrante del Regolamento Aziendale.</w:t>
      </w:r>
    </w:p>
    <w:p>
      <w:pPr>
        <w:pStyle w:val="BodyText"/>
      </w:pPr>
      <w:r>
        <w:t xml:space="preserve">Le email costituiscono canale ufficiale, formale e vincolante.</w:t>
      </w:r>
    </w:p>
    <w:p>
      <w:r>
        <w:pict>
          <v:rect style="width:0;height:1.5pt" o:hralign="center" o:hrstd="t" o:hr="t"/>
        </w:pict>
      </w:r>
    </w:p>
    <w:bookmarkEnd w:id="22"/>
    <w:bookmarkStart w:id="23" w:name="presunzione-di-conoscenza"/>
    <w:p>
      <w:pPr>
        <w:pStyle w:val="Heading2"/>
      </w:pPr>
      <w:r>
        <w:t xml:space="preserve">3. Presunzione di conoscenza</w:t>
      </w:r>
    </w:p>
    <w:p>
      <w:pPr>
        <w:pStyle w:val="FirstParagraph"/>
      </w:pPr>
      <w:r>
        <w:t xml:space="preserve">La ricezione di una comunicazione tramite email aziendale equivale a conoscenza del contenuto.</w:t>
      </w:r>
    </w:p>
    <w:p>
      <w:r>
        <w:pict>
          <v:rect style="width:0;height:1.5pt" o:hralign="center" o:hrstd="t" o:hr="t"/>
        </w:pict>
      </w:r>
    </w:p>
    <w:bookmarkEnd w:id="23"/>
    <w:bookmarkStart w:id="24" w:name="comunicazioni-disciplinari"/>
    <w:p>
      <w:pPr>
        <w:pStyle w:val="Heading2"/>
      </w:pPr>
      <w:r>
        <w:t xml:space="preserve">4. Comunicazioni disciplinari</w:t>
      </w:r>
    </w:p>
    <w:p>
      <w:pPr>
        <w:pStyle w:val="FirstParagraph"/>
      </w:pPr>
      <w:r>
        <w:t xml:space="preserve">Le comunicazioni disciplinari possono essere effettuate tramite email aziendale, nel rispetto delle procedure interne e della normativa vigente.</w:t>
      </w:r>
    </w:p>
    <w:p>
      <w:r>
        <w:pict>
          <v:rect style="width:0;height:1.5pt" o:hralign="center" o:hrstd="t" o:hr="t"/>
        </w:pict>
      </w:r>
    </w:p>
    <w:bookmarkEnd w:id="24"/>
    <w:bookmarkStart w:id="25" w:name="procedura-disciplinare"/>
    <w:p>
      <w:pPr>
        <w:pStyle w:val="Heading2"/>
      </w:pPr>
      <w:r>
        <w:t xml:space="preserve">5. Procedura disciplinare</w:t>
      </w:r>
    </w:p>
    <w:p>
      <w:pPr>
        <w:pStyle w:val="FirstParagraph"/>
      </w:pPr>
      <w:r>
        <w:t xml:space="preserve">Smiledoc adotta una procedura disciplinare interna improntata a gradualità, proporzionalità e diritto di difesa.</w:t>
      </w:r>
    </w:p>
    <w:p>
      <w:r>
        <w:pict>
          <v:rect style="width:0;height:1.5pt" o:hralign="center" o:hrstd="t" o:hr="t"/>
        </w:pict>
      </w:r>
    </w:p>
    <w:bookmarkEnd w:id="25"/>
    <w:bookmarkStart w:id="26" w:name="contestazione-e-sanzioni"/>
    <w:p>
      <w:pPr>
        <w:pStyle w:val="Heading2"/>
      </w:pPr>
      <w:r>
        <w:t xml:space="preserve">6. Contestazione e sanzioni</w:t>
      </w:r>
    </w:p>
    <w:p>
      <w:pPr>
        <w:pStyle w:val="FirstParagraph"/>
      </w:pPr>
      <w:r>
        <w:t xml:space="preserve">Nei casi più gravi si applica la procedura di contestazione ex art. 7 L.300/1970 e, se del caso, la procedura di licenziamento disciplinare.</w:t>
      </w:r>
    </w:p>
    <w:p>
      <w:r>
        <w:pict>
          <v:rect style="width:0;height:1.5pt" o:hralign="center" o:hrstd="t" o:hr="t"/>
        </w:pict>
      </w:r>
    </w:p>
    <w:bookmarkEnd w:id="26"/>
    <w:bookmarkStart w:id="27" w:name="allegati"/>
    <w:p>
      <w:pPr>
        <w:pStyle w:val="Heading2"/>
      </w:pPr>
      <w:r>
        <w:t xml:space="preserve">7. Allegati</w:t>
      </w:r>
    </w:p>
    <w:p>
      <w:pPr>
        <w:pStyle w:val="Compact"/>
        <w:numPr>
          <w:ilvl w:val="0"/>
          <w:numId w:val="1001"/>
        </w:numPr>
      </w:pPr>
      <w:r>
        <w:t xml:space="preserve">Policy Uso Email Aziendali Smiledoc</w:t>
      </w:r>
    </w:p>
    <w:p>
      <w:pPr>
        <w:pStyle w:val="Compact"/>
        <w:numPr>
          <w:ilvl w:val="0"/>
          <w:numId w:val="1001"/>
        </w:numPr>
      </w:pPr>
      <w:r>
        <w:t xml:space="preserve">Modulo Presa Visione e Accettazione</w:t>
      </w:r>
    </w:p>
    <w:p>
      <w:pPr>
        <w:pStyle w:val="Compact"/>
        <w:numPr>
          <w:ilvl w:val="0"/>
          <w:numId w:val="1001"/>
        </w:numPr>
      </w:pPr>
      <w:r>
        <w:t xml:space="preserve">Procedura Disciplinare Interna</w:t>
      </w:r>
    </w:p>
    <w:p>
      <w:pPr>
        <w:pStyle w:val="Compact"/>
        <w:numPr>
          <w:ilvl w:val="0"/>
          <w:numId w:val="1001"/>
        </w:numPr>
      </w:pPr>
      <w:r>
        <w:t xml:space="preserve">Template Richiamo Disciplinare</w:t>
      </w:r>
    </w:p>
    <w:p>
      <w:pPr>
        <w:pStyle w:val="Compact"/>
        <w:numPr>
          <w:ilvl w:val="0"/>
          <w:numId w:val="1001"/>
        </w:numPr>
      </w:pPr>
      <w:r>
        <w:t xml:space="preserve">Template Contestazione Disciplinare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Smiledoc S.r.l.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2026-01-22T03:02:28Z</dcterms:created>
  <dcterms:modified xsi:type="dcterms:W3CDTF">2026-01-22T03:02:28Z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